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7516" w14:textId="1CF8B9E6" w:rsidR="00336E0C" w:rsidRDefault="009C0A98" w:rsidP="00336E0C">
      <w:pPr>
        <w:ind w:left="-720" w:right="-720"/>
        <w:rPr>
          <w:rFonts w:ascii="Arial" w:hAnsi="Arial" w:cs="Arial"/>
          <w:szCs w:val="22"/>
        </w:rPr>
      </w:pPr>
      <w:r w:rsidRPr="00960871">
        <w:rPr>
          <w:rFonts w:ascii="Arial" w:hAnsi="Arial" w:cs="Arial"/>
          <w:szCs w:val="22"/>
        </w:rPr>
        <w:t>A-750-</w:t>
      </w:r>
      <w:r w:rsidR="00BC0997">
        <w:rPr>
          <w:rFonts w:ascii="Arial" w:hAnsi="Arial" w:cs="Arial"/>
          <w:szCs w:val="22"/>
        </w:rPr>
        <w:t>2170</w:t>
      </w:r>
      <w:r w:rsidR="00CC1D92" w:rsidRPr="00960871">
        <w:rPr>
          <w:rFonts w:ascii="Arial" w:hAnsi="Arial" w:cs="Arial"/>
          <w:szCs w:val="22"/>
        </w:rPr>
        <w:tab/>
      </w:r>
      <w:r w:rsidR="005565D2" w:rsidRPr="00960871">
        <w:rPr>
          <w:rFonts w:ascii="Arial" w:hAnsi="Arial" w:cs="Arial"/>
          <w:szCs w:val="22"/>
        </w:rPr>
        <w:tab/>
      </w:r>
      <w:r w:rsidRPr="00960871">
        <w:rPr>
          <w:rFonts w:ascii="Arial" w:hAnsi="Arial" w:cs="Arial"/>
          <w:szCs w:val="22"/>
        </w:rPr>
        <w:t xml:space="preserve">                                       </w:t>
      </w:r>
      <w:r w:rsidRPr="00960871">
        <w:rPr>
          <w:rFonts w:ascii="Arial" w:hAnsi="Arial" w:cs="Arial"/>
          <w:b/>
          <w:szCs w:val="22"/>
        </w:rPr>
        <w:t xml:space="preserve">    </w:t>
      </w:r>
      <w:r w:rsidRPr="00960871">
        <w:rPr>
          <w:rFonts w:ascii="Arial" w:hAnsi="Arial" w:cs="Arial"/>
          <w:szCs w:val="22"/>
        </w:rPr>
        <w:t xml:space="preserve">                                                </w:t>
      </w:r>
      <w:r w:rsidR="006A01FD" w:rsidRPr="00960871">
        <w:rPr>
          <w:rFonts w:ascii="Arial" w:hAnsi="Arial" w:cs="Arial"/>
          <w:szCs w:val="22"/>
        </w:rPr>
        <w:t xml:space="preserve">                    </w:t>
      </w:r>
      <w:r w:rsidRPr="00960871">
        <w:rPr>
          <w:rFonts w:ascii="Arial" w:hAnsi="Arial" w:cs="Arial"/>
          <w:szCs w:val="22"/>
        </w:rPr>
        <w:t>Index</w:t>
      </w:r>
      <w:r w:rsidR="00D7234E">
        <w:rPr>
          <w:rFonts w:ascii="Arial" w:hAnsi="Arial" w:cs="Arial"/>
          <w:szCs w:val="22"/>
        </w:rPr>
        <w:t xml:space="preserve"> 2000</w:t>
      </w:r>
      <w:r w:rsidR="00336E0C" w:rsidRPr="00960871">
        <w:rPr>
          <w:rFonts w:ascii="Arial" w:hAnsi="Arial" w:cs="Arial"/>
          <w:szCs w:val="22"/>
        </w:rPr>
        <w:t xml:space="preserve"> </w:t>
      </w:r>
    </w:p>
    <w:p w14:paraId="6091EFF9" w14:textId="77777777" w:rsidR="00ED6F37" w:rsidRPr="00960871" w:rsidRDefault="00ED6F37" w:rsidP="00336E0C">
      <w:pPr>
        <w:ind w:left="-720" w:right="-720"/>
        <w:rPr>
          <w:rFonts w:ascii="Arial" w:hAnsi="Arial" w:cs="Arial"/>
          <w:szCs w:val="22"/>
        </w:rPr>
      </w:pPr>
    </w:p>
    <w:p w14:paraId="7CE27517" w14:textId="77777777" w:rsidR="00CC1D92" w:rsidRPr="00960871" w:rsidRDefault="00CC1D92" w:rsidP="009C0A98">
      <w:pPr>
        <w:ind w:left="-720" w:right="-720"/>
        <w:rPr>
          <w:rFonts w:ascii="Arial" w:hAnsi="Arial" w:cs="Arial"/>
          <w:szCs w:val="22"/>
        </w:rPr>
      </w:pPr>
      <w:r w:rsidRPr="00960871">
        <w:rPr>
          <w:rFonts w:ascii="Arial" w:hAnsi="Arial" w:cs="Arial"/>
          <w:szCs w:val="22"/>
        </w:rPr>
        <w:tab/>
      </w:r>
    </w:p>
    <w:p w14:paraId="7CE27518" w14:textId="77777777" w:rsidR="009C0A98" w:rsidRPr="00960871" w:rsidRDefault="000D681E" w:rsidP="00BF04D1">
      <w:pPr>
        <w:ind w:left="6480" w:right="-720" w:firstLine="720"/>
        <w:rPr>
          <w:rFonts w:ascii="Arial" w:hAnsi="Arial" w:cs="Arial"/>
          <w:szCs w:val="22"/>
        </w:rPr>
      </w:pPr>
      <w:r w:rsidRPr="00960871">
        <w:rPr>
          <w:rFonts w:ascii="Arial" w:hAnsi="Arial" w:cs="Arial"/>
          <w:szCs w:val="22"/>
        </w:rPr>
        <w:t xml:space="preserve">  </w:t>
      </w:r>
      <w:r w:rsidR="006A01FD" w:rsidRPr="00960871">
        <w:rPr>
          <w:rFonts w:ascii="Arial" w:hAnsi="Arial" w:cs="Arial"/>
          <w:szCs w:val="22"/>
        </w:rPr>
        <w:t xml:space="preserve">   </w:t>
      </w:r>
    </w:p>
    <w:p w14:paraId="7CE27519" w14:textId="77777777" w:rsidR="009C0A98" w:rsidRPr="00960871" w:rsidRDefault="009C0A98" w:rsidP="009C0A98">
      <w:pPr>
        <w:ind w:left="-720" w:right="-720"/>
        <w:rPr>
          <w:rFonts w:ascii="Arial" w:hAnsi="Arial" w:cs="Arial"/>
          <w:szCs w:val="22"/>
        </w:rPr>
      </w:pPr>
    </w:p>
    <w:p w14:paraId="7CE2751A" w14:textId="77777777" w:rsidR="009C0A98" w:rsidRPr="00AF6B4D" w:rsidRDefault="009C0A98" w:rsidP="009C0A98">
      <w:pPr>
        <w:ind w:left="-720" w:right="-720"/>
        <w:jc w:val="center"/>
        <w:outlineLvl w:val="0"/>
        <w:rPr>
          <w:rFonts w:ascii="Arial" w:hAnsi="Arial" w:cs="Arial"/>
        </w:rPr>
      </w:pPr>
      <w:r w:rsidRPr="00AF6B4D">
        <w:rPr>
          <w:rFonts w:ascii="Arial" w:hAnsi="Arial" w:cs="Arial"/>
        </w:rPr>
        <w:t>NEW YORK STATE DEPARTMENT OF LABOR</w:t>
      </w:r>
    </w:p>
    <w:p w14:paraId="7CE2751B" w14:textId="77777777" w:rsidR="009C0A98" w:rsidRPr="00AF6B4D" w:rsidRDefault="009C0A98" w:rsidP="009C0A98">
      <w:pPr>
        <w:ind w:left="-720" w:right="-720"/>
        <w:jc w:val="center"/>
        <w:outlineLvl w:val="0"/>
        <w:rPr>
          <w:rFonts w:ascii="Arial" w:hAnsi="Arial" w:cs="Arial"/>
        </w:rPr>
      </w:pPr>
      <w:r w:rsidRPr="00AF6B4D">
        <w:rPr>
          <w:rFonts w:ascii="Arial" w:hAnsi="Arial" w:cs="Arial"/>
        </w:rPr>
        <w:t>UNEMPLOYMENT INSURANCE DIVISION</w:t>
      </w:r>
    </w:p>
    <w:p w14:paraId="7CE2751C" w14:textId="77777777" w:rsidR="009C0A98" w:rsidRDefault="009C0A98" w:rsidP="009C0A98">
      <w:pPr>
        <w:ind w:left="-720" w:right="-720"/>
        <w:jc w:val="center"/>
        <w:outlineLvl w:val="0"/>
        <w:rPr>
          <w:rFonts w:ascii="Arial" w:hAnsi="Arial" w:cs="Arial"/>
        </w:rPr>
      </w:pPr>
      <w:r w:rsidRPr="00AF6B4D">
        <w:rPr>
          <w:rFonts w:ascii="Arial" w:hAnsi="Arial" w:cs="Arial"/>
        </w:rPr>
        <w:t>ADJUDICATION SERVICES OFFICE</w:t>
      </w:r>
    </w:p>
    <w:p w14:paraId="514FCA5D" w14:textId="77777777" w:rsidR="00ED6F37" w:rsidRPr="00AF6B4D" w:rsidRDefault="00ED6F37" w:rsidP="009C0A98">
      <w:pPr>
        <w:ind w:left="-720" w:right="-720"/>
        <w:jc w:val="center"/>
        <w:outlineLvl w:val="0"/>
        <w:rPr>
          <w:rFonts w:ascii="Arial" w:hAnsi="Arial" w:cs="Arial"/>
        </w:rPr>
      </w:pPr>
    </w:p>
    <w:p w14:paraId="7CE2751D" w14:textId="77777777" w:rsidR="009C0A98" w:rsidRPr="00AF6B4D" w:rsidRDefault="009C0A98" w:rsidP="009C0A98">
      <w:pPr>
        <w:ind w:left="-720" w:right="-720"/>
        <w:jc w:val="center"/>
        <w:rPr>
          <w:rFonts w:ascii="Arial" w:hAnsi="Arial" w:cs="Arial"/>
        </w:rPr>
      </w:pPr>
    </w:p>
    <w:p w14:paraId="7CE2751E" w14:textId="4030093C" w:rsidR="009C0A98" w:rsidRDefault="006671C2" w:rsidP="00EE44E0">
      <w:pPr>
        <w:ind w:left="-720" w:right="-720" w:firstLine="720"/>
        <w:jc w:val="center"/>
        <w:rPr>
          <w:rFonts w:ascii="Arial" w:hAnsi="Arial" w:cs="Arial"/>
        </w:rPr>
      </w:pPr>
      <w:r w:rsidRPr="00AF6B4D">
        <w:rPr>
          <w:rFonts w:ascii="Arial" w:hAnsi="Arial" w:cs="Arial"/>
        </w:rPr>
        <w:t>April</w:t>
      </w:r>
      <w:r w:rsidR="00311107" w:rsidRPr="00AF6B4D">
        <w:rPr>
          <w:rFonts w:ascii="Arial" w:hAnsi="Arial" w:cs="Arial"/>
        </w:rPr>
        <w:t>,</w:t>
      </w:r>
      <w:r w:rsidR="009C0A98" w:rsidRPr="00AF6B4D">
        <w:rPr>
          <w:rFonts w:ascii="Arial" w:hAnsi="Arial" w:cs="Arial"/>
        </w:rPr>
        <w:t xml:space="preserve"> 20</w:t>
      </w:r>
      <w:r w:rsidR="0045649C" w:rsidRPr="00AF6B4D">
        <w:rPr>
          <w:rFonts w:ascii="Arial" w:hAnsi="Arial" w:cs="Arial"/>
        </w:rPr>
        <w:t>2</w:t>
      </w:r>
      <w:r w:rsidRPr="00AF6B4D">
        <w:rPr>
          <w:rFonts w:ascii="Arial" w:hAnsi="Arial" w:cs="Arial"/>
        </w:rPr>
        <w:t>4</w:t>
      </w:r>
    </w:p>
    <w:p w14:paraId="6023180A" w14:textId="77777777" w:rsidR="000061BA" w:rsidRPr="00AF6B4D" w:rsidRDefault="000061BA" w:rsidP="00EE44E0">
      <w:pPr>
        <w:ind w:left="-720" w:right="-720" w:firstLine="720"/>
        <w:jc w:val="center"/>
        <w:rPr>
          <w:rFonts w:ascii="Arial" w:hAnsi="Arial" w:cs="Arial"/>
        </w:rPr>
      </w:pPr>
    </w:p>
    <w:p w14:paraId="7CE2751F" w14:textId="77777777" w:rsidR="006C31E3" w:rsidRPr="00AF6B4D" w:rsidRDefault="006C31E3" w:rsidP="009C0A98">
      <w:pPr>
        <w:ind w:left="2160" w:right="-720" w:firstLine="720"/>
        <w:jc w:val="center"/>
        <w:rPr>
          <w:rFonts w:ascii="Arial" w:hAnsi="Arial" w:cs="Arial"/>
        </w:rPr>
      </w:pPr>
    </w:p>
    <w:p w14:paraId="7CE27520" w14:textId="77777777" w:rsidR="009C0A98" w:rsidRPr="00AF6B4D" w:rsidRDefault="009C0A98" w:rsidP="009C0A98">
      <w:pPr>
        <w:ind w:left="2160" w:right="-720" w:firstLine="720"/>
        <w:jc w:val="center"/>
        <w:rPr>
          <w:rFonts w:ascii="Arial" w:hAnsi="Arial" w:cs="Arial"/>
        </w:rPr>
      </w:pPr>
      <w:r w:rsidRPr="00AF6B4D">
        <w:rPr>
          <w:rFonts w:ascii="Arial" w:hAnsi="Arial" w:cs="Arial"/>
        </w:rPr>
        <w:t>INTERPRETATION SERVICE-BENEFIT CLAIMS</w:t>
      </w:r>
    </w:p>
    <w:p w14:paraId="7CE27524" w14:textId="2C62E8F8" w:rsidR="009C0A98" w:rsidRPr="00AF6B4D" w:rsidRDefault="009C0A98" w:rsidP="0027595A">
      <w:pPr>
        <w:ind w:left="2160" w:right="-720" w:firstLine="720"/>
        <w:rPr>
          <w:rFonts w:ascii="Arial" w:hAnsi="Arial" w:cs="Arial"/>
        </w:rPr>
      </w:pPr>
      <w:r w:rsidRPr="00AF6B4D">
        <w:rPr>
          <w:rFonts w:ascii="Arial" w:hAnsi="Arial" w:cs="Arial"/>
        </w:rPr>
        <w:t xml:space="preserve">           </w:t>
      </w:r>
      <w:r w:rsidRPr="00AF6B4D">
        <w:rPr>
          <w:rFonts w:ascii="Arial" w:hAnsi="Arial" w:cs="Arial"/>
        </w:rPr>
        <w:tab/>
        <w:t xml:space="preserve">    </w:t>
      </w:r>
      <w:r w:rsidR="006C31E3" w:rsidRPr="00AF6B4D">
        <w:rPr>
          <w:rFonts w:ascii="Arial" w:hAnsi="Arial" w:cs="Arial"/>
        </w:rPr>
        <w:t xml:space="preserve"> </w:t>
      </w:r>
      <w:r w:rsidR="007A54DC" w:rsidRPr="00AF6B4D">
        <w:rPr>
          <w:rFonts w:ascii="Arial" w:hAnsi="Arial" w:cs="Arial"/>
        </w:rPr>
        <w:t xml:space="preserve">  </w:t>
      </w:r>
      <w:r w:rsidRPr="00AF6B4D">
        <w:rPr>
          <w:rFonts w:ascii="Arial" w:hAnsi="Arial" w:cs="Arial"/>
        </w:rPr>
        <w:t xml:space="preserve"> </w:t>
      </w:r>
      <w:r w:rsidR="00810BCE" w:rsidRPr="00AF6B4D">
        <w:rPr>
          <w:rFonts w:ascii="Arial" w:hAnsi="Arial" w:cs="Arial"/>
        </w:rPr>
        <w:t>599 Program</w:t>
      </w:r>
    </w:p>
    <w:p w14:paraId="7CE27525" w14:textId="77777777" w:rsidR="0027595A" w:rsidRPr="00AF6B4D" w:rsidRDefault="0027595A" w:rsidP="0027595A">
      <w:pPr>
        <w:ind w:left="2160" w:right="-720" w:firstLine="720"/>
        <w:rPr>
          <w:rFonts w:ascii="Arial" w:hAnsi="Arial" w:cs="Arial"/>
        </w:rPr>
      </w:pPr>
    </w:p>
    <w:p w14:paraId="7CE27526" w14:textId="77777777" w:rsidR="00B924C4" w:rsidRPr="00AF6B4D" w:rsidRDefault="00B924C4" w:rsidP="009C0A98">
      <w:pPr>
        <w:ind w:left="2160" w:right="-720" w:firstLine="720"/>
        <w:rPr>
          <w:rFonts w:ascii="Arial" w:hAnsi="Arial" w:cs="Arial"/>
        </w:rPr>
      </w:pPr>
    </w:p>
    <w:p w14:paraId="7CE27527" w14:textId="77777777" w:rsidR="00336E0C" w:rsidRPr="00AF6B4D" w:rsidRDefault="00336E0C" w:rsidP="005565D2">
      <w:pPr>
        <w:ind w:left="2160" w:right="-720" w:firstLine="1440"/>
        <w:jc w:val="both"/>
        <w:rPr>
          <w:rFonts w:ascii="Arial" w:hAnsi="Arial" w:cs="Arial"/>
          <w:u w:val="single"/>
        </w:rPr>
      </w:pPr>
    </w:p>
    <w:p w14:paraId="7CE27528" w14:textId="74432D13" w:rsidR="0052476A" w:rsidRPr="00AF6B4D" w:rsidRDefault="00336E0C" w:rsidP="0052476A">
      <w:pPr>
        <w:ind w:right="-720" w:firstLine="1440"/>
        <w:jc w:val="both"/>
        <w:rPr>
          <w:rFonts w:ascii="Arial" w:hAnsi="Arial" w:cs="Arial"/>
          <w:i/>
          <w:iCs/>
        </w:rPr>
      </w:pPr>
      <w:r w:rsidRPr="00AF6B4D">
        <w:rPr>
          <w:rFonts w:ascii="Arial" w:hAnsi="Arial" w:cs="Arial"/>
          <w:i/>
          <w:iCs/>
        </w:rPr>
        <w:t xml:space="preserve">     </w:t>
      </w:r>
      <w:r w:rsidR="002300AC" w:rsidRPr="00AF6B4D">
        <w:rPr>
          <w:rFonts w:ascii="Arial" w:hAnsi="Arial" w:cs="Arial"/>
          <w:i/>
          <w:iCs/>
        </w:rPr>
        <w:t xml:space="preserve">         </w:t>
      </w:r>
      <w:r w:rsidRPr="00AF6B4D">
        <w:rPr>
          <w:rFonts w:ascii="Arial" w:hAnsi="Arial" w:cs="Arial"/>
          <w:i/>
          <w:iCs/>
        </w:rPr>
        <w:t xml:space="preserve"> </w:t>
      </w:r>
      <w:r w:rsidR="00D73539">
        <w:rPr>
          <w:rFonts w:ascii="Arial" w:hAnsi="Arial" w:cs="Arial"/>
          <w:i/>
          <w:iCs/>
        </w:rPr>
        <w:t>Twelve Hours of Classroom Instruction</w:t>
      </w:r>
    </w:p>
    <w:p w14:paraId="7CE27529" w14:textId="77777777" w:rsidR="00336E0C" w:rsidRPr="00AF6B4D" w:rsidRDefault="00336E0C" w:rsidP="0052476A">
      <w:pPr>
        <w:ind w:right="-720" w:firstLine="1440"/>
        <w:jc w:val="both"/>
        <w:rPr>
          <w:rFonts w:ascii="Arial" w:hAnsi="Arial" w:cs="Arial"/>
          <w:u w:val="single"/>
        </w:rPr>
      </w:pPr>
    </w:p>
    <w:p w14:paraId="257BAB1E" w14:textId="1E510782" w:rsidR="006671C2" w:rsidRPr="00AF6B4D" w:rsidRDefault="00336E0C" w:rsidP="00ED6F37">
      <w:pPr>
        <w:rPr>
          <w:rFonts w:ascii="Arial" w:hAnsi="Arial" w:cs="Arial"/>
        </w:rPr>
      </w:pPr>
      <w:r w:rsidRPr="00AF6B4D">
        <w:rPr>
          <w:rFonts w:ascii="Arial" w:hAnsi="Arial" w:cs="Arial"/>
        </w:rPr>
        <w:tab/>
      </w:r>
      <w:r w:rsidR="00BA5DE3">
        <w:rPr>
          <w:rFonts w:ascii="Arial" w:hAnsi="Arial" w:cs="Arial"/>
        </w:rPr>
        <w:t xml:space="preserve">It is a </w:t>
      </w:r>
      <w:r w:rsidR="005357B0">
        <w:rPr>
          <w:rFonts w:ascii="Arial" w:hAnsi="Arial" w:cs="Arial"/>
        </w:rPr>
        <w:t>well-established</w:t>
      </w:r>
      <w:r w:rsidR="00BA5DE3">
        <w:rPr>
          <w:rFonts w:ascii="Arial" w:hAnsi="Arial" w:cs="Arial"/>
        </w:rPr>
        <w:t xml:space="preserve"> matter of unemployment insurance case law</w:t>
      </w:r>
      <w:r w:rsidR="00E635F1">
        <w:rPr>
          <w:rFonts w:ascii="Arial" w:hAnsi="Arial" w:cs="Arial"/>
        </w:rPr>
        <w:t xml:space="preserve"> that a training program of less than twelve hours per week in a structured institutional setting, in person and/or remote,</w:t>
      </w:r>
      <w:r w:rsidR="005357B0">
        <w:rPr>
          <w:rFonts w:ascii="Arial" w:hAnsi="Arial" w:cs="Arial"/>
        </w:rPr>
        <w:t xml:space="preserve"> fails to meet the requirements of the §599 program.</w:t>
      </w:r>
    </w:p>
    <w:p w14:paraId="5154BC8F" w14:textId="77777777" w:rsidR="006671C2" w:rsidRPr="00AF6B4D" w:rsidRDefault="006671C2" w:rsidP="00AE1716">
      <w:pPr>
        <w:spacing w:line="276" w:lineRule="auto"/>
        <w:rPr>
          <w:rFonts w:ascii="Arial" w:hAnsi="Arial" w:cs="Arial"/>
        </w:rPr>
      </w:pPr>
    </w:p>
    <w:p w14:paraId="7CE2752B" w14:textId="4F4AB7B8" w:rsidR="00012F63" w:rsidRPr="00AF6B4D" w:rsidRDefault="006671C2" w:rsidP="00AE1716">
      <w:pPr>
        <w:spacing w:line="276" w:lineRule="auto"/>
        <w:rPr>
          <w:rFonts w:ascii="Arial" w:hAnsi="Arial" w:cs="Arial"/>
        </w:rPr>
      </w:pPr>
      <w:r w:rsidRPr="00AF6B4D">
        <w:rPr>
          <w:rFonts w:ascii="Arial" w:hAnsi="Arial" w:cs="Arial"/>
        </w:rPr>
        <w:tab/>
      </w:r>
      <w:r w:rsidRPr="00AF6B4D">
        <w:rPr>
          <w:rFonts w:ascii="Arial" w:hAnsi="Arial" w:cs="Arial"/>
        </w:rPr>
        <w:tab/>
      </w:r>
      <w:r w:rsidRPr="00AF6B4D">
        <w:rPr>
          <w:rFonts w:ascii="Arial" w:hAnsi="Arial" w:cs="Arial"/>
        </w:rPr>
        <w:tab/>
      </w:r>
      <w:r w:rsidRPr="00AF6B4D">
        <w:rPr>
          <w:rFonts w:ascii="Arial" w:hAnsi="Arial" w:cs="Arial"/>
        </w:rPr>
        <w:tab/>
      </w:r>
      <w:r w:rsidR="00810BCE" w:rsidRPr="00AF6B4D">
        <w:rPr>
          <w:rFonts w:ascii="Arial" w:hAnsi="Arial" w:cs="Arial"/>
        </w:rPr>
        <w:t xml:space="preserve">           AB 632070</w:t>
      </w:r>
      <w:r w:rsidR="002C1F88" w:rsidRPr="00AF6B4D">
        <w:rPr>
          <w:rFonts w:ascii="Arial" w:hAnsi="Arial" w:cs="Arial"/>
        </w:rPr>
        <w:t xml:space="preserve">           </w:t>
      </w:r>
    </w:p>
    <w:p w14:paraId="0F3B3231" w14:textId="77777777" w:rsidR="00583750" w:rsidRPr="00AF6B4D" w:rsidRDefault="009549C0" w:rsidP="0020063A">
      <w:pPr>
        <w:rPr>
          <w:rFonts w:ascii="Arial" w:hAnsi="Arial" w:cs="Arial"/>
        </w:rPr>
      </w:pPr>
      <w:r w:rsidRPr="00AF6B4D">
        <w:rPr>
          <w:rFonts w:ascii="Arial" w:hAnsi="Arial" w:cs="Arial"/>
        </w:rPr>
        <w:t xml:space="preserve">                                              </w:t>
      </w:r>
      <w:r w:rsidR="0020063A" w:rsidRPr="00AF6B4D">
        <w:rPr>
          <w:rFonts w:ascii="Arial" w:hAnsi="Arial" w:cs="Arial"/>
        </w:rPr>
        <w:tab/>
      </w:r>
      <w:r w:rsidR="0020063A" w:rsidRPr="00AF6B4D">
        <w:rPr>
          <w:rFonts w:ascii="Arial" w:hAnsi="Arial" w:cs="Arial"/>
        </w:rPr>
        <w:tab/>
      </w:r>
    </w:p>
    <w:p w14:paraId="646AFAD4" w14:textId="57AFC6B7" w:rsidR="006671C2" w:rsidRPr="00AF6B4D" w:rsidRDefault="00960871" w:rsidP="00ED6F37">
      <w:pPr>
        <w:widowControl w:val="0"/>
        <w:autoSpaceDE w:val="0"/>
        <w:autoSpaceDN w:val="0"/>
        <w:adjustRightInd w:val="0"/>
        <w:rPr>
          <w:rFonts w:ascii="Arial" w:hAnsi="Arial" w:cs="Arial"/>
        </w:rPr>
      </w:pPr>
      <w:r w:rsidRPr="00AF6B4D">
        <w:rPr>
          <w:rFonts w:ascii="Arial" w:hAnsi="Arial" w:cs="Arial"/>
        </w:rPr>
        <w:tab/>
      </w:r>
      <w:r w:rsidR="006671C2" w:rsidRPr="00AF6B4D">
        <w:rPr>
          <w:rFonts w:ascii="Arial" w:hAnsi="Arial" w:cs="Arial"/>
        </w:rPr>
        <w:t xml:space="preserve">The Department of Labor issued the initial determination, denying the claimant approval for career and related training under Labor Law § 599 (1). The claimant requested a hearing. </w:t>
      </w:r>
    </w:p>
    <w:p w14:paraId="77258828" w14:textId="77777777" w:rsidR="006671C2" w:rsidRPr="00AF6B4D" w:rsidRDefault="006671C2" w:rsidP="00ED6F37">
      <w:pPr>
        <w:widowControl w:val="0"/>
        <w:autoSpaceDE w:val="0"/>
        <w:autoSpaceDN w:val="0"/>
        <w:adjustRightInd w:val="0"/>
        <w:rPr>
          <w:rFonts w:ascii="Arial" w:hAnsi="Arial" w:cs="Arial"/>
        </w:rPr>
      </w:pPr>
    </w:p>
    <w:p w14:paraId="75E54B02"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The Administrative Law Judge held a telephone conference hearing at which all parties were accorded a full opportunity to be heard and at which testimony was taken. There was an appearance by the claimant. By decision filed January 11, 2024 (A.L.J. Case No. 323-02989), the Administrative Law Judge overruled the initial determination.</w:t>
      </w:r>
    </w:p>
    <w:p w14:paraId="787B7BE4" w14:textId="77777777" w:rsidR="006671C2" w:rsidRPr="00AF6B4D" w:rsidRDefault="006671C2" w:rsidP="00ED6F37">
      <w:pPr>
        <w:widowControl w:val="0"/>
        <w:autoSpaceDE w:val="0"/>
        <w:autoSpaceDN w:val="0"/>
        <w:adjustRightInd w:val="0"/>
        <w:rPr>
          <w:rFonts w:ascii="Arial" w:hAnsi="Arial" w:cs="Arial"/>
        </w:rPr>
      </w:pPr>
    </w:p>
    <w:p w14:paraId="344CD6E2"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 xml:space="preserve">The Commissioner of Labor appealed the Judge's decision to the Appeal Board. The Board considered the arguments contained in the written statement submitted on behalf of the Commissioner of Labor. </w:t>
      </w:r>
    </w:p>
    <w:p w14:paraId="02DC7C17" w14:textId="77777777" w:rsidR="006671C2" w:rsidRPr="00AF6B4D" w:rsidRDefault="006671C2" w:rsidP="00ED6F37">
      <w:pPr>
        <w:widowControl w:val="0"/>
        <w:autoSpaceDE w:val="0"/>
        <w:autoSpaceDN w:val="0"/>
        <w:adjustRightInd w:val="0"/>
        <w:rPr>
          <w:rFonts w:ascii="Arial" w:hAnsi="Arial" w:cs="Arial"/>
        </w:rPr>
      </w:pPr>
    </w:p>
    <w:p w14:paraId="5F91259E"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Based on the record and testimony in this case, the Board makes the following</w:t>
      </w:r>
    </w:p>
    <w:p w14:paraId="5E5CFF22" w14:textId="77777777" w:rsidR="006671C2" w:rsidRPr="00AF6B4D" w:rsidRDefault="006671C2" w:rsidP="00ED6F37">
      <w:pPr>
        <w:widowControl w:val="0"/>
        <w:autoSpaceDE w:val="0"/>
        <w:autoSpaceDN w:val="0"/>
        <w:adjustRightInd w:val="0"/>
        <w:rPr>
          <w:rFonts w:ascii="Arial" w:hAnsi="Arial" w:cs="Arial"/>
        </w:rPr>
      </w:pPr>
    </w:p>
    <w:p w14:paraId="34128BE1" w14:textId="270017A4"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 xml:space="preserve">FINDINGS OF FACT: After filing a claim for unemployment insurance benefits effective March 20, 2023, the claimant became aware that he could collect unemployment benefits while pursuing career and related training. </w:t>
      </w:r>
    </w:p>
    <w:p w14:paraId="468D17B2" w14:textId="77777777" w:rsidR="006671C2" w:rsidRPr="00AF6B4D" w:rsidRDefault="006671C2" w:rsidP="00ED6F37">
      <w:pPr>
        <w:widowControl w:val="0"/>
        <w:autoSpaceDE w:val="0"/>
        <w:autoSpaceDN w:val="0"/>
        <w:adjustRightInd w:val="0"/>
        <w:rPr>
          <w:rFonts w:ascii="Arial" w:hAnsi="Arial" w:cs="Arial"/>
        </w:rPr>
      </w:pPr>
    </w:p>
    <w:p w14:paraId="2DD2E327"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 xml:space="preserve">He enrolled in graduate school as of July 2023, to pursue a master’s degree. As </w:t>
      </w:r>
      <w:r w:rsidRPr="00AF6B4D">
        <w:rPr>
          <w:rFonts w:ascii="Arial" w:hAnsi="Arial" w:cs="Arial"/>
        </w:rPr>
        <w:lastRenderedPageBreak/>
        <w:t>of September 5, 2023, the claimant was taking two courses for a total of six credits in the first semester of his master’s degree program. The Department Chair for the claimant’s program informed the claimant that six credit hours towards his degree was recommended because his classes involved significant work, research, and experimentation. The Department Chair considers nine credit hours a full-time semester and opined that the 12-credit hour requirement would undermine “the most optimal progression through the curriculum.”</w:t>
      </w:r>
    </w:p>
    <w:p w14:paraId="0E6120B1" w14:textId="77777777" w:rsidR="006671C2" w:rsidRPr="00AF6B4D" w:rsidRDefault="006671C2" w:rsidP="00ED6F37">
      <w:pPr>
        <w:widowControl w:val="0"/>
        <w:autoSpaceDE w:val="0"/>
        <w:autoSpaceDN w:val="0"/>
        <w:adjustRightInd w:val="0"/>
        <w:rPr>
          <w:rFonts w:ascii="Arial" w:hAnsi="Arial" w:cs="Arial"/>
        </w:rPr>
      </w:pPr>
    </w:p>
    <w:p w14:paraId="3F2FF1C1"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 xml:space="preserve">OPINION: Pursuant to Labor Law 12 NYCRR § 482.2(b) "Career and related training means any training program clearly leading to the qualifications or skills for a specific occupation, including but not limited to basic education skills, occupations skills training and skills upgrading; and consisting of one or more approved training courses or activities which require attendance at training for at least 12 hours in each week and a training period requiring no more than 24 months to complete." </w:t>
      </w:r>
    </w:p>
    <w:p w14:paraId="2D5A4F95" w14:textId="77777777" w:rsidR="006671C2" w:rsidRPr="00AF6B4D" w:rsidRDefault="006671C2" w:rsidP="00ED6F37">
      <w:pPr>
        <w:widowControl w:val="0"/>
        <w:autoSpaceDE w:val="0"/>
        <w:autoSpaceDN w:val="0"/>
        <w:adjustRightInd w:val="0"/>
        <w:rPr>
          <w:rFonts w:ascii="Arial" w:hAnsi="Arial" w:cs="Arial"/>
        </w:rPr>
      </w:pPr>
    </w:p>
    <w:p w14:paraId="7CABD221" w14:textId="77777777" w:rsidR="006671C2" w:rsidRPr="00AF6B4D" w:rsidRDefault="006671C2" w:rsidP="00ED6F37">
      <w:pPr>
        <w:widowControl w:val="0"/>
        <w:autoSpaceDE w:val="0"/>
        <w:autoSpaceDN w:val="0"/>
        <w:adjustRightInd w:val="0"/>
        <w:ind w:firstLine="720"/>
        <w:rPr>
          <w:rFonts w:ascii="Arial" w:hAnsi="Arial" w:cs="Arial"/>
        </w:rPr>
      </w:pPr>
      <w:r w:rsidRPr="00AF6B4D">
        <w:rPr>
          <w:rFonts w:ascii="Arial" w:hAnsi="Arial" w:cs="Arial"/>
        </w:rPr>
        <w:t>The credible evidence establishes that the claimant was taking six credit hours in the fall of 2024. “It is well settled that a training program consisting of less than 12 hours per week of classroom training during a semester fails to meet the requirements of the § 599 program.” (</w:t>
      </w:r>
      <w:r w:rsidRPr="00AF6B4D">
        <w:rPr>
          <w:rFonts w:ascii="Arial" w:hAnsi="Arial" w:cs="Arial"/>
          <w:i/>
          <w:iCs/>
        </w:rPr>
        <w:t>See</w:t>
      </w:r>
      <w:r w:rsidRPr="00AF6B4D">
        <w:rPr>
          <w:rFonts w:ascii="Arial" w:hAnsi="Arial" w:cs="Arial"/>
        </w:rPr>
        <w:t xml:space="preserve"> Appeal Board No. 555624, citing </w:t>
      </w:r>
      <w:r w:rsidRPr="00AF6B4D">
        <w:rPr>
          <w:rFonts w:ascii="Arial" w:hAnsi="Arial" w:cs="Arial"/>
          <w:i/>
          <w:iCs/>
        </w:rPr>
        <w:t>Matter of Lohman</w:t>
      </w:r>
      <w:r w:rsidRPr="00AF6B4D">
        <w:rPr>
          <w:rFonts w:ascii="Arial" w:hAnsi="Arial" w:cs="Arial"/>
        </w:rPr>
        <w:t xml:space="preserve">, 6 AD3d 916 [3d Dept 2003] and </w:t>
      </w:r>
      <w:r w:rsidRPr="00AF6B4D">
        <w:rPr>
          <w:rFonts w:ascii="Arial" w:hAnsi="Arial" w:cs="Arial"/>
          <w:i/>
          <w:iCs/>
        </w:rPr>
        <w:t>Matter of Winston</w:t>
      </w:r>
      <w:r w:rsidRPr="00AF6B4D">
        <w:rPr>
          <w:rFonts w:ascii="Arial" w:hAnsi="Arial" w:cs="Arial"/>
        </w:rPr>
        <w:t>, 307 AD2d 574 [3d Dept 2003].) Participation under 12 NYCRR § 482 has been interpreted as meaning attendance in a structured institutional setting twelve of more hours per week. (</w:t>
      </w:r>
      <w:r w:rsidRPr="00AF6B4D">
        <w:rPr>
          <w:rFonts w:ascii="Arial" w:hAnsi="Arial" w:cs="Arial"/>
          <w:i/>
          <w:iCs/>
        </w:rPr>
        <w:t>See</w:t>
      </w:r>
      <w:r w:rsidRPr="00AF6B4D">
        <w:rPr>
          <w:rFonts w:ascii="Arial" w:hAnsi="Arial" w:cs="Arial"/>
        </w:rPr>
        <w:t xml:space="preserve"> </w:t>
      </w:r>
      <w:r w:rsidRPr="00AF6B4D">
        <w:rPr>
          <w:rFonts w:ascii="Arial" w:hAnsi="Arial" w:cs="Arial"/>
          <w:i/>
          <w:iCs/>
        </w:rPr>
        <w:t>Matter of Delgado</w:t>
      </w:r>
      <w:r w:rsidRPr="00AF6B4D">
        <w:rPr>
          <w:rFonts w:ascii="Arial" w:hAnsi="Arial" w:cs="Arial"/>
        </w:rPr>
        <w:t xml:space="preserve">, 10 AD3d 840 [3d Dept 2004]; and </w:t>
      </w:r>
      <w:r w:rsidRPr="00AF6B4D">
        <w:rPr>
          <w:rFonts w:ascii="Arial" w:hAnsi="Arial" w:cs="Arial"/>
          <w:i/>
          <w:iCs/>
        </w:rPr>
        <w:t>Matter of Winston</w:t>
      </w:r>
      <w:r w:rsidRPr="00AF6B4D">
        <w:rPr>
          <w:rFonts w:ascii="Arial" w:hAnsi="Arial" w:cs="Arial"/>
        </w:rPr>
        <w:t xml:space="preserve">, 307 Ad2d 574 [3d Dept 2004].) </w:t>
      </w:r>
    </w:p>
    <w:p w14:paraId="66A9355F" w14:textId="77777777" w:rsidR="006671C2" w:rsidRPr="00AF6B4D" w:rsidRDefault="006671C2" w:rsidP="00ED6F37">
      <w:pPr>
        <w:widowControl w:val="0"/>
        <w:autoSpaceDE w:val="0"/>
        <w:autoSpaceDN w:val="0"/>
        <w:adjustRightInd w:val="0"/>
        <w:rPr>
          <w:rFonts w:ascii="Arial" w:hAnsi="Arial" w:cs="Arial"/>
        </w:rPr>
      </w:pPr>
    </w:p>
    <w:p w14:paraId="0471613F"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 xml:space="preserve">Although the hearing Judge asserted that the 12-credit hour standard could be waived by the Commissioner of Labor “when it [was] … impossible for the customer to attend school full-time, or the requirement [would] cause undue hardship for the customer”, the claimant does not offer any testimony or evidence to support such a waiver. Nor is there any evidence that the “school’s policy … limit(ed) the number of class hours or credits students [could] register for due to the nature or intensity of the program’s curriculum.” Instead, the claimant accepted the recommendation of the Department Chair to begin coursework with six credits. And, even if we were to credit the Department Chair's contention that the nature and intensity of the coursework mandated less than 12-credit hours, the Department Chair also clarified “9-credit hours is considered to be a full-time courseload.” Consequently, the claimant was not pursuing a full-time courseload for his graduate studies with his six credit hours. Hence, we conclude that the claimant, in enrolling in less than twelve credit hours for this semester, was properly denied benefits under Labor Law § 599 (1). </w:t>
      </w:r>
    </w:p>
    <w:p w14:paraId="0CAC584D" w14:textId="77777777" w:rsidR="006671C2" w:rsidRPr="00AF6B4D" w:rsidRDefault="006671C2" w:rsidP="00ED6F37">
      <w:pPr>
        <w:widowControl w:val="0"/>
        <w:autoSpaceDE w:val="0"/>
        <w:autoSpaceDN w:val="0"/>
        <w:adjustRightInd w:val="0"/>
        <w:rPr>
          <w:rFonts w:ascii="Arial" w:hAnsi="Arial" w:cs="Arial"/>
        </w:rPr>
      </w:pPr>
    </w:p>
    <w:p w14:paraId="4AC42E1B"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DECISION: The decision of the Administrative Law Judge is reversed.</w:t>
      </w:r>
    </w:p>
    <w:p w14:paraId="63299B1F" w14:textId="77777777" w:rsidR="006671C2" w:rsidRPr="00AF6B4D" w:rsidRDefault="006671C2" w:rsidP="00ED6F37">
      <w:pPr>
        <w:widowControl w:val="0"/>
        <w:autoSpaceDE w:val="0"/>
        <w:autoSpaceDN w:val="0"/>
        <w:adjustRightInd w:val="0"/>
        <w:rPr>
          <w:rFonts w:ascii="Arial" w:hAnsi="Arial" w:cs="Arial"/>
        </w:rPr>
      </w:pPr>
    </w:p>
    <w:p w14:paraId="4E30E1E2"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The initial determination, denying the claimant approval for career and related training under Labor Law § 599 (1), is sustained.</w:t>
      </w:r>
    </w:p>
    <w:p w14:paraId="44566AFA" w14:textId="77777777" w:rsidR="006671C2" w:rsidRPr="00AF6B4D" w:rsidRDefault="006671C2" w:rsidP="00ED6F37">
      <w:pPr>
        <w:widowControl w:val="0"/>
        <w:autoSpaceDE w:val="0"/>
        <w:autoSpaceDN w:val="0"/>
        <w:adjustRightInd w:val="0"/>
        <w:rPr>
          <w:rFonts w:ascii="Arial" w:hAnsi="Arial" w:cs="Arial"/>
        </w:rPr>
      </w:pPr>
    </w:p>
    <w:p w14:paraId="4252C46C" w14:textId="77777777" w:rsidR="006671C2" w:rsidRPr="00AF6B4D" w:rsidRDefault="006671C2" w:rsidP="00ED6F37">
      <w:pPr>
        <w:widowControl w:val="0"/>
        <w:autoSpaceDE w:val="0"/>
        <w:autoSpaceDN w:val="0"/>
        <w:adjustRightInd w:val="0"/>
        <w:rPr>
          <w:rFonts w:ascii="Arial" w:hAnsi="Arial" w:cs="Arial"/>
        </w:rPr>
      </w:pPr>
      <w:r w:rsidRPr="00AF6B4D">
        <w:rPr>
          <w:rFonts w:ascii="Arial" w:hAnsi="Arial" w:cs="Arial"/>
        </w:rPr>
        <w:tab/>
        <w:t>The claimant is denied benefits with respect to the issues decided herein.</w:t>
      </w:r>
    </w:p>
    <w:p w14:paraId="0B0A92A1" w14:textId="7C4647A3" w:rsidR="00A94DF1" w:rsidRPr="00AF6B4D" w:rsidRDefault="00A94DF1" w:rsidP="006671C2">
      <w:pPr>
        <w:pStyle w:val="Default"/>
      </w:pPr>
    </w:p>
    <w:p w14:paraId="7CE27542" w14:textId="2FA7E96E" w:rsidR="006A01FD" w:rsidRPr="00AF6B4D" w:rsidRDefault="002300AC" w:rsidP="00A94DF1">
      <w:pPr>
        <w:widowControl w:val="0"/>
        <w:autoSpaceDE w:val="0"/>
        <w:autoSpaceDN w:val="0"/>
        <w:adjustRightInd w:val="0"/>
        <w:rPr>
          <w:rFonts w:ascii="Arial" w:hAnsi="Arial" w:cs="Arial"/>
        </w:rPr>
      </w:pPr>
      <w:r w:rsidRPr="00AF6B4D">
        <w:rPr>
          <w:rFonts w:ascii="Arial" w:hAnsi="Arial" w:cs="Arial"/>
        </w:rPr>
        <w:lastRenderedPageBreak/>
        <w:t xml:space="preserve"> </w:t>
      </w:r>
      <w:r w:rsidRPr="00AF6B4D">
        <w:rPr>
          <w:rFonts w:ascii="Arial" w:hAnsi="Arial" w:cs="Arial"/>
        </w:rPr>
        <w:tab/>
        <w:t xml:space="preserve">                                                </w:t>
      </w:r>
      <w:r w:rsidR="00CC1D92" w:rsidRPr="00AF6B4D">
        <w:rPr>
          <w:rFonts w:ascii="Arial" w:hAnsi="Arial" w:cs="Arial"/>
        </w:rPr>
        <w:t xml:space="preserve"> </w:t>
      </w:r>
      <w:r w:rsidR="006A01FD" w:rsidRPr="00AF6B4D">
        <w:rPr>
          <w:rFonts w:ascii="Arial" w:hAnsi="Arial" w:cs="Arial"/>
        </w:rPr>
        <w:t>COMMENT</w:t>
      </w:r>
      <w:r w:rsidR="006A1571" w:rsidRPr="00AF6B4D">
        <w:rPr>
          <w:rFonts w:ascii="Arial" w:hAnsi="Arial" w:cs="Arial"/>
        </w:rPr>
        <w:t>S</w:t>
      </w:r>
    </w:p>
    <w:p w14:paraId="7CE27543" w14:textId="208514C9" w:rsidR="006A1571" w:rsidRDefault="006A1571" w:rsidP="00E10979">
      <w:pPr>
        <w:pStyle w:val="Default"/>
        <w:rPr>
          <w:u w:val="single"/>
        </w:rPr>
      </w:pPr>
    </w:p>
    <w:p w14:paraId="128BC4EC" w14:textId="23F497DF" w:rsidR="000061BA" w:rsidRDefault="000061BA" w:rsidP="00CD561D">
      <w:pPr>
        <w:pStyle w:val="Default"/>
        <w:numPr>
          <w:ilvl w:val="0"/>
          <w:numId w:val="3"/>
        </w:numPr>
      </w:pPr>
      <w:r>
        <w:t>The rule above applies to both undergraduate and graduate</w:t>
      </w:r>
      <w:r w:rsidR="00F25D0B">
        <w:t xml:space="preserve"> level training.</w:t>
      </w:r>
    </w:p>
    <w:p w14:paraId="441F567E" w14:textId="77777777" w:rsidR="00F25D0B" w:rsidRDefault="00F25D0B" w:rsidP="00E10979">
      <w:pPr>
        <w:pStyle w:val="Default"/>
      </w:pPr>
    </w:p>
    <w:p w14:paraId="7426F1F9" w14:textId="3DFDA3BD" w:rsidR="00F25D0B" w:rsidRPr="000061BA" w:rsidRDefault="00F25D0B" w:rsidP="00CD561D">
      <w:pPr>
        <w:pStyle w:val="Default"/>
        <w:numPr>
          <w:ilvl w:val="0"/>
          <w:numId w:val="3"/>
        </w:numPr>
      </w:pPr>
      <w:r>
        <w:t xml:space="preserve">This rule </w:t>
      </w:r>
      <w:r w:rsidRPr="005811DE">
        <w:rPr>
          <w:i/>
          <w:iCs/>
        </w:rPr>
        <w:t>may</w:t>
      </w:r>
      <w:r>
        <w:t xml:space="preserve"> be waived by the Commissioner</w:t>
      </w:r>
      <w:r w:rsidR="005811DE">
        <w:t xml:space="preserve"> if the claimant can demonstrate that participation in twelve hours of instruction per week</w:t>
      </w:r>
      <w:r w:rsidR="00303778">
        <w:t xml:space="preserve"> will cause either undue hardship to the claimant or it is impossible</w:t>
      </w:r>
      <w:r w:rsidR="00CD561D">
        <w:t xml:space="preserve"> for the claimant to attend class 12 hours per week.</w:t>
      </w:r>
    </w:p>
    <w:sectPr w:rsidR="00F25D0B" w:rsidRPr="000061BA" w:rsidSect="00C9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2F1E"/>
    <w:multiLevelType w:val="hybridMultilevel"/>
    <w:tmpl w:val="F088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A561F"/>
    <w:multiLevelType w:val="hybridMultilevel"/>
    <w:tmpl w:val="5098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D42E7"/>
    <w:multiLevelType w:val="hybridMultilevel"/>
    <w:tmpl w:val="C3F290E8"/>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743871423">
    <w:abstractNumId w:val="2"/>
  </w:num>
  <w:num w:numId="2" w16cid:durableId="2055421132">
    <w:abstractNumId w:val="0"/>
  </w:num>
  <w:num w:numId="3" w16cid:durableId="17473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98"/>
    <w:rsid w:val="000061BA"/>
    <w:rsid w:val="00012F63"/>
    <w:rsid w:val="00013AE4"/>
    <w:rsid w:val="00022AEC"/>
    <w:rsid w:val="00036A04"/>
    <w:rsid w:val="00045BE5"/>
    <w:rsid w:val="000614EA"/>
    <w:rsid w:val="0006618E"/>
    <w:rsid w:val="000D5193"/>
    <w:rsid w:val="000D5B90"/>
    <w:rsid w:val="000D681E"/>
    <w:rsid w:val="000D6B1A"/>
    <w:rsid w:val="000F55AC"/>
    <w:rsid w:val="0010384E"/>
    <w:rsid w:val="001206CE"/>
    <w:rsid w:val="00121BC5"/>
    <w:rsid w:val="001624CE"/>
    <w:rsid w:val="00194D42"/>
    <w:rsid w:val="00195E98"/>
    <w:rsid w:val="001A66CB"/>
    <w:rsid w:val="001E05A6"/>
    <w:rsid w:val="001F380F"/>
    <w:rsid w:val="0020063A"/>
    <w:rsid w:val="002010D0"/>
    <w:rsid w:val="00204A2A"/>
    <w:rsid w:val="00216F54"/>
    <w:rsid w:val="002300AC"/>
    <w:rsid w:val="0026349F"/>
    <w:rsid w:val="0027555D"/>
    <w:rsid w:val="0027595A"/>
    <w:rsid w:val="00281654"/>
    <w:rsid w:val="002B4F4F"/>
    <w:rsid w:val="002C1F88"/>
    <w:rsid w:val="002D13FC"/>
    <w:rsid w:val="002D2821"/>
    <w:rsid w:val="002E2A83"/>
    <w:rsid w:val="002E74D2"/>
    <w:rsid w:val="00303778"/>
    <w:rsid w:val="00311107"/>
    <w:rsid w:val="003154D6"/>
    <w:rsid w:val="00321C07"/>
    <w:rsid w:val="00324C8C"/>
    <w:rsid w:val="00326C28"/>
    <w:rsid w:val="00336E0C"/>
    <w:rsid w:val="00362190"/>
    <w:rsid w:val="003D38A4"/>
    <w:rsid w:val="003E7C57"/>
    <w:rsid w:val="00405A47"/>
    <w:rsid w:val="00424BC7"/>
    <w:rsid w:val="00441149"/>
    <w:rsid w:val="00441968"/>
    <w:rsid w:val="00441D4B"/>
    <w:rsid w:val="00452E3F"/>
    <w:rsid w:val="0045649C"/>
    <w:rsid w:val="004575C6"/>
    <w:rsid w:val="004651C8"/>
    <w:rsid w:val="00490C73"/>
    <w:rsid w:val="004948EF"/>
    <w:rsid w:val="00497714"/>
    <w:rsid w:val="004A3EA7"/>
    <w:rsid w:val="004A74A5"/>
    <w:rsid w:val="004D566F"/>
    <w:rsid w:val="004D6795"/>
    <w:rsid w:val="004F3009"/>
    <w:rsid w:val="00502F06"/>
    <w:rsid w:val="0052476A"/>
    <w:rsid w:val="00526AC2"/>
    <w:rsid w:val="005357B0"/>
    <w:rsid w:val="005405AF"/>
    <w:rsid w:val="005431E2"/>
    <w:rsid w:val="005565D2"/>
    <w:rsid w:val="00562163"/>
    <w:rsid w:val="005660C8"/>
    <w:rsid w:val="005811DE"/>
    <w:rsid w:val="00583750"/>
    <w:rsid w:val="005A51B8"/>
    <w:rsid w:val="005F3058"/>
    <w:rsid w:val="0060017B"/>
    <w:rsid w:val="006122EE"/>
    <w:rsid w:val="00613AC1"/>
    <w:rsid w:val="006145D3"/>
    <w:rsid w:val="00642C39"/>
    <w:rsid w:val="0064784F"/>
    <w:rsid w:val="00661EF0"/>
    <w:rsid w:val="006671C2"/>
    <w:rsid w:val="006A01FD"/>
    <w:rsid w:val="006A1571"/>
    <w:rsid w:val="006C31E3"/>
    <w:rsid w:val="006D2F51"/>
    <w:rsid w:val="006D5ED7"/>
    <w:rsid w:val="00723522"/>
    <w:rsid w:val="00740531"/>
    <w:rsid w:val="00741C4B"/>
    <w:rsid w:val="00744BB5"/>
    <w:rsid w:val="00783DC4"/>
    <w:rsid w:val="00791A39"/>
    <w:rsid w:val="007A1EE2"/>
    <w:rsid w:val="007A54DC"/>
    <w:rsid w:val="007A6FE5"/>
    <w:rsid w:val="007C31B0"/>
    <w:rsid w:val="007C73F0"/>
    <w:rsid w:val="007D21D0"/>
    <w:rsid w:val="007E1E2D"/>
    <w:rsid w:val="007E2388"/>
    <w:rsid w:val="00807725"/>
    <w:rsid w:val="008102AC"/>
    <w:rsid w:val="00810BCE"/>
    <w:rsid w:val="00861EE9"/>
    <w:rsid w:val="008672D4"/>
    <w:rsid w:val="0087157B"/>
    <w:rsid w:val="0089748E"/>
    <w:rsid w:val="008A51DC"/>
    <w:rsid w:val="008A6209"/>
    <w:rsid w:val="008D6AB5"/>
    <w:rsid w:val="008D6D53"/>
    <w:rsid w:val="0092032C"/>
    <w:rsid w:val="00935CD0"/>
    <w:rsid w:val="00944E89"/>
    <w:rsid w:val="009549C0"/>
    <w:rsid w:val="00960871"/>
    <w:rsid w:val="009652D5"/>
    <w:rsid w:val="009A4610"/>
    <w:rsid w:val="009A60CF"/>
    <w:rsid w:val="009C0A98"/>
    <w:rsid w:val="009E3C7F"/>
    <w:rsid w:val="00A02300"/>
    <w:rsid w:val="00A12AEE"/>
    <w:rsid w:val="00A22B73"/>
    <w:rsid w:val="00A630B7"/>
    <w:rsid w:val="00A66FE3"/>
    <w:rsid w:val="00A72C42"/>
    <w:rsid w:val="00A94DF1"/>
    <w:rsid w:val="00AA1FB9"/>
    <w:rsid w:val="00AA5B8B"/>
    <w:rsid w:val="00AC613E"/>
    <w:rsid w:val="00AE1716"/>
    <w:rsid w:val="00AE5840"/>
    <w:rsid w:val="00AF2C8D"/>
    <w:rsid w:val="00AF6B4D"/>
    <w:rsid w:val="00B0014C"/>
    <w:rsid w:val="00B0304C"/>
    <w:rsid w:val="00B10197"/>
    <w:rsid w:val="00B158C8"/>
    <w:rsid w:val="00B3218B"/>
    <w:rsid w:val="00B549EA"/>
    <w:rsid w:val="00B639BC"/>
    <w:rsid w:val="00B82CDF"/>
    <w:rsid w:val="00B924C4"/>
    <w:rsid w:val="00BA5DE3"/>
    <w:rsid w:val="00BA6440"/>
    <w:rsid w:val="00BA705F"/>
    <w:rsid w:val="00BC0997"/>
    <w:rsid w:val="00BC3064"/>
    <w:rsid w:val="00BD10DC"/>
    <w:rsid w:val="00BF04D1"/>
    <w:rsid w:val="00C05475"/>
    <w:rsid w:val="00C5020D"/>
    <w:rsid w:val="00C531C4"/>
    <w:rsid w:val="00C53E9C"/>
    <w:rsid w:val="00C60683"/>
    <w:rsid w:val="00C702D3"/>
    <w:rsid w:val="00C72E6E"/>
    <w:rsid w:val="00C960FD"/>
    <w:rsid w:val="00CC1D92"/>
    <w:rsid w:val="00CC3A70"/>
    <w:rsid w:val="00CD561D"/>
    <w:rsid w:val="00D01412"/>
    <w:rsid w:val="00D16A98"/>
    <w:rsid w:val="00D467C9"/>
    <w:rsid w:val="00D55669"/>
    <w:rsid w:val="00D5788B"/>
    <w:rsid w:val="00D70E5C"/>
    <w:rsid w:val="00D7234E"/>
    <w:rsid w:val="00D73539"/>
    <w:rsid w:val="00D93894"/>
    <w:rsid w:val="00D95E6A"/>
    <w:rsid w:val="00DB7153"/>
    <w:rsid w:val="00E00366"/>
    <w:rsid w:val="00E10979"/>
    <w:rsid w:val="00E114B1"/>
    <w:rsid w:val="00E43BE0"/>
    <w:rsid w:val="00E52283"/>
    <w:rsid w:val="00E5614A"/>
    <w:rsid w:val="00E5707D"/>
    <w:rsid w:val="00E635F1"/>
    <w:rsid w:val="00E637ED"/>
    <w:rsid w:val="00E85C97"/>
    <w:rsid w:val="00E96904"/>
    <w:rsid w:val="00E96D26"/>
    <w:rsid w:val="00ED6F37"/>
    <w:rsid w:val="00EE44E0"/>
    <w:rsid w:val="00EF2968"/>
    <w:rsid w:val="00EF36AC"/>
    <w:rsid w:val="00F25D0B"/>
    <w:rsid w:val="00F44E0A"/>
    <w:rsid w:val="00F57E32"/>
    <w:rsid w:val="00F973F4"/>
    <w:rsid w:val="00FB10C0"/>
    <w:rsid w:val="00FC30FA"/>
    <w:rsid w:val="00FC4B40"/>
    <w:rsid w:val="00FC53CE"/>
    <w:rsid w:val="00FC5D59"/>
    <w:rsid w:val="00FD7953"/>
    <w:rsid w:val="00FF06D6"/>
    <w:rsid w:val="00FF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7516"/>
  <w15:docId w15:val="{BE8105B6-24DE-4493-8FF4-B2ED8D19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80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7595A"/>
    <w:pPr>
      <w:spacing w:before="100" w:beforeAutospacing="1" w:after="100" w:afterAutospacing="1"/>
    </w:pPr>
  </w:style>
  <w:style w:type="paragraph" w:customStyle="1" w:styleId="xxmsonormal">
    <w:name w:val="x_xmsonormal"/>
    <w:basedOn w:val="Normal"/>
    <w:rsid w:val="0044196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9E3C7F"/>
    <w:rPr>
      <w:sz w:val="16"/>
      <w:szCs w:val="16"/>
    </w:rPr>
  </w:style>
  <w:style w:type="paragraph" w:styleId="CommentText">
    <w:name w:val="annotation text"/>
    <w:basedOn w:val="Normal"/>
    <w:link w:val="CommentTextChar"/>
    <w:uiPriority w:val="99"/>
    <w:unhideWhenUsed/>
    <w:rsid w:val="009E3C7F"/>
    <w:rPr>
      <w:sz w:val="20"/>
      <w:szCs w:val="20"/>
    </w:rPr>
  </w:style>
  <w:style w:type="character" w:customStyle="1" w:styleId="CommentTextChar">
    <w:name w:val="Comment Text Char"/>
    <w:basedOn w:val="DefaultParagraphFont"/>
    <w:link w:val="CommentText"/>
    <w:uiPriority w:val="99"/>
    <w:rsid w:val="009E3C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C7F"/>
    <w:rPr>
      <w:b/>
      <w:bCs/>
    </w:rPr>
  </w:style>
  <w:style w:type="character" w:customStyle="1" w:styleId="CommentSubjectChar">
    <w:name w:val="Comment Subject Char"/>
    <w:basedOn w:val="CommentTextChar"/>
    <w:link w:val="CommentSubject"/>
    <w:uiPriority w:val="99"/>
    <w:semiHidden/>
    <w:rsid w:val="009E3C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524">
      <w:bodyDiv w:val="1"/>
      <w:marLeft w:val="0"/>
      <w:marRight w:val="0"/>
      <w:marTop w:val="0"/>
      <w:marBottom w:val="0"/>
      <w:divBdr>
        <w:top w:val="none" w:sz="0" w:space="0" w:color="auto"/>
        <w:left w:val="none" w:sz="0" w:space="0" w:color="auto"/>
        <w:bottom w:val="none" w:sz="0" w:space="0" w:color="auto"/>
        <w:right w:val="none" w:sz="0" w:space="0" w:color="auto"/>
      </w:divBdr>
    </w:div>
    <w:div w:id="980496894">
      <w:bodyDiv w:val="1"/>
      <w:marLeft w:val="0"/>
      <w:marRight w:val="0"/>
      <w:marTop w:val="0"/>
      <w:marBottom w:val="0"/>
      <w:divBdr>
        <w:top w:val="none" w:sz="0" w:space="0" w:color="auto"/>
        <w:left w:val="none" w:sz="0" w:space="0" w:color="auto"/>
        <w:bottom w:val="none" w:sz="0" w:space="0" w:color="auto"/>
        <w:right w:val="none" w:sz="0" w:space="0" w:color="auto"/>
      </w:divBdr>
      <w:divsChild>
        <w:div w:id="1317104639">
          <w:marLeft w:val="0"/>
          <w:marRight w:val="0"/>
          <w:marTop w:val="0"/>
          <w:marBottom w:val="0"/>
          <w:divBdr>
            <w:top w:val="none" w:sz="0" w:space="0" w:color="auto"/>
            <w:left w:val="none" w:sz="0" w:space="0" w:color="auto"/>
            <w:bottom w:val="none" w:sz="0" w:space="0" w:color="auto"/>
            <w:right w:val="none" w:sz="0" w:space="0" w:color="auto"/>
          </w:divBdr>
          <w:divsChild>
            <w:div w:id="1470392246">
              <w:marLeft w:val="0"/>
              <w:marRight w:val="0"/>
              <w:marTop w:val="0"/>
              <w:marBottom w:val="0"/>
              <w:divBdr>
                <w:top w:val="none" w:sz="0" w:space="0" w:color="auto"/>
                <w:left w:val="none" w:sz="0" w:space="0" w:color="auto"/>
                <w:bottom w:val="none" w:sz="0" w:space="0" w:color="auto"/>
                <w:right w:val="none" w:sz="0" w:space="0" w:color="auto"/>
              </w:divBdr>
              <w:divsChild>
                <w:div w:id="2113669610">
                  <w:marLeft w:val="0"/>
                  <w:marRight w:val="0"/>
                  <w:marTop w:val="0"/>
                  <w:marBottom w:val="0"/>
                  <w:divBdr>
                    <w:top w:val="single" w:sz="6" w:space="10" w:color="CACACA"/>
                    <w:left w:val="single" w:sz="6" w:space="31" w:color="CACACA"/>
                    <w:bottom w:val="single" w:sz="6" w:space="10" w:color="CACACA"/>
                    <w:right w:val="single" w:sz="6" w:space="31" w:color="CACACA"/>
                  </w:divBdr>
                  <w:divsChild>
                    <w:div w:id="1478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6216">
      <w:bodyDiv w:val="1"/>
      <w:marLeft w:val="0"/>
      <w:marRight w:val="0"/>
      <w:marTop w:val="0"/>
      <w:marBottom w:val="0"/>
      <w:divBdr>
        <w:top w:val="none" w:sz="0" w:space="0" w:color="auto"/>
        <w:left w:val="none" w:sz="0" w:space="0" w:color="auto"/>
        <w:bottom w:val="none" w:sz="0" w:space="0" w:color="auto"/>
        <w:right w:val="none" w:sz="0" w:space="0" w:color="auto"/>
      </w:divBdr>
    </w:div>
    <w:div w:id="19758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Curtis</dc:creator>
  <cp:lastModifiedBy>Mejia, Steven G (LABOR)</cp:lastModifiedBy>
  <cp:revision>3</cp:revision>
  <cp:lastPrinted>2015-08-14T13:21:00Z</cp:lastPrinted>
  <dcterms:created xsi:type="dcterms:W3CDTF">2024-06-10T13:11:00Z</dcterms:created>
  <dcterms:modified xsi:type="dcterms:W3CDTF">2024-08-14T19:29:00Z</dcterms:modified>
</cp:coreProperties>
</file>